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/>
    </w:p>
    <w:p>
      <w:pPr>
        <w:jc w:val="center"/>
        <w:spacing w:after="1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9264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9264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60288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60288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60288;visibility:visible;" from="195.8pt,21.6pt" to="210.2pt,28.8pt" filled="f" strokecolor="#000000" strokeweight="0.75pt"/>
              </v:group>
            </w:pict>
          </mc:Fallback>
        </mc:AlternateContent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Еврейской автономной области от 18.12.2012 № 724-пп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Еврейской автономной области от 27.06.2012 № 86-ОЗ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</w:t>
      </w:r>
      <w:r>
        <w:rPr>
          <w:rFonts w:ascii="Times New Roman" w:hAnsi="Times New Roman" w:cs="Times New Roman"/>
          <w:bCs/>
          <w:sz w:val="28"/>
          <w:szCs w:val="28"/>
        </w:rPr>
        <w:t xml:space="preserve">втономной области»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нести в постановление правительства Еврейской автономной области от 18.12.2012 № 724-пп «О реализации закона Еврейской автономной области от 27.06.2012 № 86-ОЗ «О ежемесячной денежной выплате семьям, нуждающимся в поддержке, при рождении (усыновлении) трет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ьего ребенка или последующих детей до достижения ребенком возраста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трех лет в Еврейской автономной области» следующие изменения и дополнения: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«1. 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назначения и выплаты ежемесячной де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 31 декабря 2012 года, но не позднее 31 декабря 2022 года третьего ребенка или послед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ующих детей;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учета и исчисления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размера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среднедушевого дохода семьи для получения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 не позднее 31 декабря 2022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третьего ребенка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или последующих детей;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перечень документов (копий документов, сведений), необходимых для назначения ежемесячной денежной выплаты 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 не позднее 31 декабря 2022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третьего ребенка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или последующих детей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форму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акта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подтверждающего факт совместного проживания родителя (усыновителя) с ребенком (детьми),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связи с рождением которого (которых) возникло право на установление ежемесячной денежной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Порядок назначения и выплаты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 31 декабря 2012 года третьего ребенка или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последующих детей, утвержденный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вышеуказанным постановлением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Порядок</w:t>
      </w:r>
      <w:r>
        <w:rPr>
          <w:b w:val="0"/>
          <w:bCs w:val="0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назначения и выплаты ежемесячной денежной выплаты семьям,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постоянно или временно проживающим на территории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Еврейской автономной области и нуждающимся в социальной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поддержке, при </w:t>
        <w:br/>
        <w:t xml:space="preserve">рождении (усыновлении) после 31 декабря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2012 года, но не позднее </w:t>
        <w:br/>
        <w:t xml:space="preserve">31 декабря 2022 года  третьего ребенка или последующих детей</w:t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Настоящий Порядок назначения и вып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латы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 31 декабря 2012 года, но не позднее 31 декабря 2022 года  третьег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 ребенка или последующих детей (далее - Порядок) разработан 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законом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Еврейской автономной области от 27.06.2012 № 86-ОЗ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 определяет механизм назначения и 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ыплаты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 31 декабря 2012 года, но не позднее 31 декабря 2022 года третье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го ребенка или последующих детей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(далее - ежемесячная денежная выплата)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 Решение о назначении и выплате, приостановлении и возобновлении, а также прекращении ежемесячной денежной выплаты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принимается областным государственным бюджетным учреждением «Многофункциональный центр предоставления государственных и муниципальных услуг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Еврейской автономной области» (далее - </w:t>
        <w:br/>
        <w:t xml:space="preserve">ОГБУ «МФЦ»).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 Ежемесячная денежная выплата назначается и выплачивается </w:t>
        <w:br/>
        <w:t xml:space="preserve">ОГБУ «МФЦ» одному 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 родителей (усыновителей) (далее - заявитель), являющемуся гражданином Российской Федерации и проживающему совместно с ребенком (детьми), в связи с рождением которого (которых) возникло право на установление ежемесячной денежной выплаты, на территории Евр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ейской автономной области (далее - область).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Ежемесячная денежная выплата назначается и выплачивается до достижения ребенком возраста трех лет.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Размер ежемесячной денежной выплаты подлежит перерасчету в беззаявительном порядке с 1 января года,  исходя из ежегодного изменения величины прожиточного минимума для детей.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</w:t>
      </w:r>
      <w:r>
        <w:t xml:space="preserve">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Для предоставления ежемесячной денежной выплаты необходимы следующие документы (сведения):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 заявление по форме, утвержденной департаментом социальной защиты населения правительства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 документы, удостоверяющие личность заявителя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 сведения о государственной регистрации рождения (усыновления) ребенка (детей);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г) сведения, подтверждающие родственные отношения (в случае расхождения в представленных документах фамилии, имени, отчества ребенка и родителей).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д) сведения о регистрации заявителя 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ребенка (детей), в связи с рождением которого (которых) возникло право на установление ежемесячной денежной выплаты,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 месту жительства (месту пребывания);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сведения о доходах семьи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 сведения о страховом номере индивидуального лицевого счета заявителя в системе обязательного пенсионного страхования.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5. За предоставлением ежемесячной денежной выплаты заявитель может обратиться: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в ОГБУ «МФЦ» или филиал ОГБУ «МФЦ» по месту жительства (далее - филиал ОГБУ «МФЦ»);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через портал государственных и муниципальных услуг (функций) области (далее - портал);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 посредством почтовой связи способом, позволяющим подтвердить факт и дату отправления документов, предусмотренных абзацем третьим пункта 6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6. При обращении за предоставлением ежемесячной денежной выплаты  в ОГБУ «МФЦ» или филиал ОГБУ «МФЦ» заявитель представляет документы, предусмотренные подпунктами «а» и «б» пункта 4 настоящего Порядка. Днем обращения за 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редоставлением ежемесячной денежной выплаты  считается день приема ОГБУ «МФЦ» или филиалом ОГБУ «МФЦ» заявлений.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обращении за предоставлением ежемесячной денежной выплаты через портал заявитель подает в электронной форме документы, предусмотренные подпунктом «а» пункта 4 настоящего Порядка. Датой обращения за предоставлением ежемесячной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денежной выплаты  через портал считается дата регистрации заявлений в форме электронных документов.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обращении за предоставлением ежемесячной денежной выплаты посредством почтовой связи заявитель представляет документы, предусмотренные подпунктами «а» и «б» пункта 4 настоящего Порядка. Днем обращения за предоставлен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ием ежемесячной денежной выплаты  считается дата, указанная на почтовом штемпеле организации федеральной почтовой связи по месту отправления данных документов. При этом копии документов, предусмотренных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подпунктом «б» пу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нкт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 настоящего Порядка, должны быть заверены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Од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новременно с заявлением заявитель представляет в зависимости от сложившейся у него жизненной ситуации следующие документы (сведения):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а) о рождении ребенка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б) о смерти члена семьи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в) 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г) о факте обучения заявителя или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д) о факте неполучения стипендии в случае обучения заявителя или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е) о нахождении заявителя или членов его семьи на полном государственном обеспечении;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ж) о прохождении заявителем или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заключившего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контракт о прохождении военной службы;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з) о прохождении заявителем или членами его семьи военной службы по призыву;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и) о нахождении заявителя или членов его семьи на принудительном лечении по решению суда;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) 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им показаниям;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л) о размере ежемесячного пожизненного содержания судей, вышедших в отставку;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) 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) 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е в иных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о) о размере доходов, предусмотренных подпунктами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а» и «е» 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ун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кта 4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учета и исчисления размера среднедушевого дохода семьи для получения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 не позднее 31 декабря 2022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третьего ребенка или последующих детей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, утвержденного в соответств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 с пунктом 1 настоящего постановления (в случае, если заявитель или члены его семьи являются (являлись)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й охраны, органов внутренних дел Российской Федерации);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п) о размере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р) о размере доходов, полученных заявителем или членами его семьи за пределами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) о размере доходов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т) о размере доходов, полученных в рамках применения специального налогового режима «Налог на профессиональный доход»;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у) о размере доходов по договорам авторского заказа, договорам об отчуждении исключительного права на результаты интеллектуальной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ф)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х) об алиментах, выплачиваемых одним из родителей на содержание несовершеннолетних детей, не проживающих в данной семье;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ц)  </w:t>
      </w:r>
      <w:r>
        <w:rPr>
          <w:rFonts w:ascii="Times New Roman" w:hAnsi="Times New Roman" w:cs="Times New Roman"/>
          <w:sz w:val="28"/>
          <w:szCs w:val="28"/>
        </w:rPr>
        <w:t xml:space="preserve">о сумме полученных алиментов.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 случае если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зая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вление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подано с использованием портала, заявитель в течение 10 рабочих дней со дня регистрации ОГБУ «МФЦ» или филиалом ОГБУ «МФЦ» заявления представляет в ОГБУ «МФЦ» или филиал ОГБУ «МФЦ» документы (сведения), предусмотренные пунктом 7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настоящего Порядка.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. В случае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едставления ненадлежащим образом оформленных документов или неполного пакета документов,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6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ОГБУ «МФЦ» или  филиал ОГБУ «МФЦ» в течение 7 рабочих дней возвращает заявителю документы без их рассмотрения.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После дооформления документов заявитель вправе повторно обратиться в ОГБУ «МФЦ» или  филиал ОГБУ «МФЦ» в порядке, установленном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10. Заявитель несет ответственность за неполноту и недостоверность сведений, указанных в заявлении о назначении ежемесячной денежной выплаты,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11. ОГБУ «МФЦ» или филиал ОГБУ «МФЦ» не вправе требовать от заявителя представления документов (сведений),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подпунктами «в»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«ж»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пункта 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Порядка. Заявитель вправе представить указанные документы (сведения) в ОГБУ «МФЦ» или филиал ОГБУ «МФЦ»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случае если заявитель не представил документы, предусмотренные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подпунктами «в»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- «ж»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пункта 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ОГБУ «МФЦ» в порядке межведомственного информационного взаимодействия запрашивает указанные документы в соответствующих органах государственной власти, органах государственных внебюджетных фондов и органах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необходимости ОГБУ «МФЦ» или филиал ОГБУ «МФЦ» в течение 5 дней со дня получения документов, указанных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пункте 11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организовывает составление акта, подтверждающего факт совместного проживания родителя (усыновителя) с ребенком (детьми)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в связи с рождением которого (которых) возникло право на установление ежемесячной денежной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(в случае отсутствия регистрации по одному адресу родителя (усыновителя) с ребенком (детьми)).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12. Филиал ОГБУ «МФЦ» в течение 5 рабочих дней со дня получения документов,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6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передает их в ОГБУ «МФЦ» вместе с актом, подтверждающим факт совместного проживания родителя (усыновителя) с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ребенком (детьми)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связи с рождением которого (которых) возникло право на установление ежемесячной денежной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в случае, если он составлялся.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13. Решение о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назначении или об отказе в назначении ежемесячной денежной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принимается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течение 10 рабочих дней со дня поступления документов, предусмотренных пунктом 4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чае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документов, представленных заявителем, приостанавливается до получения всех сведений, предусмотре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11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Порядка, но не более чем на 20 рабочих дней со дня получения документов от заявителя.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ОГБУ «МФЦ» уведомляет заявителя о приостановлении рассмотрения документов в течение 3 рабочих дней со дня принятия такого решения с указанием оснований приостановления.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случае принятия решения об отказе в предоставлении ежемесячной денежной выплаты  ОГБУ «МФЦ» направляет заявителю в срок, не превышающий 3 рабочих дней со дня принятия такого решения, уведомление с указанием аргументиров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анного обоснования.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15. Решение об отказе в назначении ежемесячной денежной выплаты принимается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 представление недостоверных сведений;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если третий ребенок или последующие дети, в связи с рождением которого (которых) предоставляется ежемесячная денежная выплата, находятся на полном государственном обеспечении;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 если родитель лишен родительских прав, ограничен в родительских правах по отношению к третьему ребенку или последующим детям, в связи с рождением которых предоставляется ежемесячная денежная выплата;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если размер среднедушевого дохода семьи превысил двукратную величину прожиточного минимума трудоспособного населения, установленную правите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льством области в соответствии с федеральным законодательством на соответствующий год;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д) в случае получения аналогичной выплаты в соответствии с законодательством другого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отсутствие сведений, подтверждающих факт постоянного или временного проживания заявителя и ребенка (детей),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связи с рождением которого (которых) возникло право на установление ежемесячной денежной выплаты,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территории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 гражданин, обратившийся за назначением ежемесячной денежной выплаты, не является родителем (усыновителем) несовершеннолетнего ребенка и (или) гражданином Российской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з) получение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ежемесячного пособия в связи с рождением и воспитанием ребенка,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предусмотренного Федеральным законом от 19.05.1995 № 81-ФЗ «О государственных пособиях гражданам, имеющим детей»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 ребенка (детей) в отношении которого (которых)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возникло право на установление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ежемесячной денежной 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и)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 непредставление заявителем в ОГБУ «МФЦ» или филиал ОГБУ «МФЦ» документов (сведений), указанных в пункте 6 настоящего Порядка (за исключением подпункта «т» пункта 6 настоящего Порядка);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к) отсутствие права.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16. При назначении ежемесячной денежной выплаты за истекшее время выплата ее производится в размере, установленном законом на соответствующий период.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7. Доставка ежемесячной денежной выплаты за текущий месяц осуществляется не позднее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1-го числа следующего месяца по выбору гражданина через организацию федеральной почтовой связи или путем зачисления на открываемый гражданином в выбранной кредитной организ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ации банковский счет.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18. Ежемесячная денежная выплата, не полученная гражданином своевременно по вине ОГБУ «МФЦ», выплачивается за прошедшее время без ограничения каким-либо сроком.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9. Излишне выплаченные суммы ежемесячной денежной выплаты по вине гражданина (представление документов с заведомо недостоверными сведениями, сокрытие сведений, влияющих на право назначения и/или получения ежемесячной денежной выплаты, исчисление ее размера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а также нарушение гражданином сроков извещения о наступлении обстоятельств, влекущих изменение или прекращение выплаты ежемесячной денежной выплаты, предусмотренных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пунктом 24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настоящего Порядка) засчитываются в счет будущих выплат ежемесячной денежной выплаты, а при отсутствии права на получение ежемесячной денежной выплаты возмещаются гражданином. В случае отказа от добровольного возврата излишне выплаченных сумм ежемесячной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денежной выплаты по вине гражданина указанные средства взыскиваются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Суммы, излишне выплаченные гражданину по вине ОГБУ «МФЦ», удержанию не подлежат, за исключением случая счетной ошибки. В этом случае ущерб взыскивается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20. Доставка ежемесячной денежной выплаты осуществляется за счет средств областного бюджета.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21. 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олучатели ежемесячной денежной выплаты обязаны ежегодно по истечении 12 месяцев с месяца обращения за назначением ежемесячной денежной выплаты представлять в ОГБУ «МФЦ» или филиал ОГБУ «МФЦ» документы, предусмотренные подпунктами «а» - «б» пункта 4 настоящ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его Порядка. В случае непредставления указанных документов выплата ежемесячной денежной выплаты приостанавливается.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ГБУ «МФЦ» в порядке межведомственного информационного взаимодействия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запрашивает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сведения, предусмотренные подпунктами «в» – «ж» пункта 4 настоящего Порядка, в соответствующих орг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анах государственной власти, органах государственных внебюджетных фондов.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Получатель вправе представить указанные документы (сведения) в ОГБУ «МФЦ» или филиал ОГБУ «МФЦ»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 Выплата ежемесячной денежной выплаты возобновляется с месяца представления гражданином соответствующих документов, но не более чем за 6 месяцев, предшествующих месяцу обращения гражданина за возобновлением выплаты ежемесячной денежной выплаты при наличи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 права.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23. При поступлении в ОГБУ «МФЦ» или филиал ОГБУ «МФЦ» сведений, влияющих на размер и выплату ежемесячной денежной выплаты, выплата ежемесячной денежной выплаты приостанавливается до выяснения обстоятельств, но не более чем на три месяца.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 случае приостановления ежемесячной денежной выплаты ОГБУ «МФЦ» в течение 10 рабочих дней уведомляет граждан о приостановлении выплаты ежемесячное денежной выплаты.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осле выяснения обстоятельств выплата ежемесячной денежной выплаты возобновляется начиная с месяца приостановления предоставления выплаты ежемесячной денежной выплаты при наличии права либо прекращается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 случаях, определенных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пунктом 24 настоящего Порядка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24. Основаниями для прекращения ежемесячной денежной выплаты являются: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нахождение третьего ребенка или последующих детей, в связи с рождением которого (которых) предоставляется ежемесячная денежная выплата, на полном государственном обеспечении;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 лишение родительских прав, ограничение в родительских правах по отношению к третьему ребенку или последующим детям, в связи с рождением которых предоставляется ежемесячная денежная выплата;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превышение среднедушевого дохода семьи двукратной величины прожиточного минимума трудоспособного населения, установленной правите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льством области в соответствии с федеральным законодательством на соответствующий год;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г) получение аналогичной выплаты в соответствии с законодательством другого субъекта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отсутствие сведений, подтверждающих факт постоянного или временного проживания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заявителя и ребенка (детей),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связи с рождением которого (которых) возникло право на установление ежемесячной денежной выплаты,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территории области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назначение предусмотренно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го Федеральным законом от 19.05.1995 № 81-ФЗ «О государственных пособиях гражданам, имеющим детей» ежемесячного пособия в связи с рождением и воспитанием ребенка на ребенка (детей) в отношении которого (которых) осуществляется ежемесячная денежная выплата;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ж) представление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заявителем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недостоверных сведений.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25. Выплата ежемесячной денежной выплаты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прекращается с месяца, следующего за месяцем, в котором в ОГБУ «МФЦ» поступили сведения о наступлении соответствующих обстоятельств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26. Граждан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е, получающие ежемесячную денежную выплату, обязаны информировать ОГБУ «МФЦ» или филиал ОГБУ «МФЦ» о наступлении обстоятельств, влекущих изменение или прекращение выплаты (перемена места жительства, изменение состава семьи и т.п.), не позднее чем в месячны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й срок с момента наступления указанных обстоятельств.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27. Информационное обеспечение назначения и выплаты ежемесячной денежной выплаты осуществляется ОГБУ «МФЦ» посредством использования Единой государственной информационной системы социального обеспечения.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3. Дополнить Перечнем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документов (копий документов, сведений), необходимых для назначения ежемесячной денежной выплаты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 не позднее 31 декабря 2022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третьего ребенка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или последующих детей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УТВЕРЖДЕН</w:t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 области</w:t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 18.12.2012 № 724-пп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Перечень 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документов (копий документов, сведений), необходимых для назначения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емьям, постоянно или временно проживающим на территории еврейской автономной области и нуждающимся в социальной поддержке, при рождении (усыновлении)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но не позднее 31 декабря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2022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третьего ребенка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или последующих детей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tbl>
      <w:tblPr>
        <w:tblStyle w:val="70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827"/>
        <w:gridCol w:w="544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Наименование документа (сведений)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Источник сведений / способ получения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рождении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 (в случае регистрации записи соответствующего акта компетентным органом иностранного государства)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смерти ребенка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 (единая государственная информационная система социального обеспечения)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гражданин (в случае регистрации записи соответствующего акта компетентным органом иностранного государства)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смерти члена семьи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  (в случае регистрации записи соответствующего акта компетентным органом иностранного государства)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заключении (расторжении) брака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(в случае регистрации записи соответствующего акта компетентным органом иностранного государства)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Сведения, содержащиеся в решении органа опеки и попечительства об установлении опеки над ребенком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родителях ребенка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(в случае регистрации записи акта о рождении ребенка компетентным органом иностранного государства)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об ограничении дееспособности или признании родителя либо иного законного представителя ребенка недееспособным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 (в том числе о налоговых вы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четах)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(автоматизированная информационная система «Налог-3»)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(по запросу в Минобороны России, Росгвардию, ФССП России, ФТС России, ГУСП)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 и других органов, в которых закон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кта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об осуществлении ухода за нетрудоспособными лицами в период расчета среднедушевого дохода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(единая государственная информационная система социального обеспечения) / посредством заключения соглашений о межведомственном взаимодействии областным государственным бюджетным учреждением «Многофункциональный центр пр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едоставления государственных и муниципальных услуг в Еврейской автономной области» с территориальными отделениями Пенсионного фонда Российской Федерации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наличии статуса безработного или ищущего работу на момент подачи заявления и (или) в период, за который рассчитывается среднедушевой доход семьи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до 31 декабря 2021 г. - департамент по труду и занятости населения правительства Еврейской автономной области / по решению департамента по труду и занятости населения правительства Еврейской автономной области с 1 января 2022 г. - Роструд (информационно-ан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алитическая система «Общероссийская база вакансий «Работа в России2)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дивидендах, процентах и иных доходах, полученных по операциям с ценными бумагами и по операциям с производными финансовыми инструментами (с учетом понесенных расходов), а также в связи с участием в управлении собственностью организации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(автоматизированная информационная система «Налог-3»)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процентах, полученных по вкладам в кредитных учреждениях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 1 января 2022 г. - ФНС России (автоматизированная информационная система «Налог-3»)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осуществления частной п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рактики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(автоматизированная информационная система «Налог-3»)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гражданин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доходах, полученных в рамках применения специального налогового режима «Налог на профессиональный доход»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 по договорам авторского заказа, об отчуждении исключительного права на результаты интеллектуальной деятельности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(автоматизированная информационная система «Налог-3») / посредством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 от реализации недвижимого имущества, находящегося в собственности менее срока владения, указанного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статье 217.1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сдачи в аренду (наем, поднаем) имущества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ФНС России (автоматизированная информационная система «Налог-3»)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регистрации по месту жительства и месту пребывания гражданина Российской Федерации в пределах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МВД России (ведомственная информационная система)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МВД России (ведомственная информационная система)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получаемых алиментах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ФССП России (ведомственная информационная система) (в случае, если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 / посредст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вом единой системы межведомственного электронного взаимодействия;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отражения суммы получаемых алиментов в заявлении, представления документов (сведений)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об освобождении из мест лишения свободы гражданина и (или) членов его семьи в период, за который рассчитывается среднедушевой доход семьи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ФСИН России (ведомственная информационная система)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пребывании в местах лишения свободы членов семьи гражданина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ФСИН России (ведомственная информационная система)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наличии инвалидности и ее группе (при наличии)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(федеральная государственная информационная система «Федеральный реестр инвалидов») / посредством единой системы межведомственного электронного взаимодействия (запрос сведений должен осуществляться по каждому поступивше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му заявлению)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факте обучения гражданина и (или)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факте обучения гражданина или членов его семьи младше 23 лет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риод, за который рассчитывается среднедушевой доход семьи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прохождении гражданином или членами его семьи военной службы по призыву в период, за который рассчитывается среднедушевой доход семьи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нахождении гражданина и (или) членов его семьи на полном государственном обеспечении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прохождении гражданином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военной образовательной организации высшего образования и не за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ключившего контракт о прохождении военной службы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нахождении гражданина и (или) членов его семьи на принудительном лечении по решению суда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применении в отношении гражданина и (или) членов его семьи меры пресечения в виде заключения под стражу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до 31 марта 2022 года - гражданин / посредством представления подтверждающих документов; с 1 апреля 2022 г. - ФСИН России (ведомственная информационная система)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размерах компенсационных выплат указанным категориям граждан в период их нахождения в академическом 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тпуске по медицинским показаниям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суммах ежемесячного пожизненного содержания судей, вышедших в отставку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суммах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а также в связи с террористическим актом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 / по решению департамента социальной защиты населения правительства Еврейской автономной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сумме полученной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суммах дохода, полученного от источников за пределами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полученных грантах, субсидиях и других поступлениях, имеющих целевой характер расходования и представляемых в рамках поддержки предпринимательства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/ посредством представления подтверждающих документов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доходах, полученных в результате выигрышей, выплачиваемых организаторами лотерей, тотализаторов и других основанных на риске игр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 1 апреля 2022 г. - ФНС России (автоматизированная информационная система Федеральной налоговой службы АИС «Налог-3»)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 трудовой деятельности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Фонд пенсионного и социального страхования Российской Федерации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(автоматизированная информационная система Пенсионного фонда Российской Федерации нового поколения (АИС ПФР-2) / посредством единой системы межведомственного электронного взаимодействия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Сведения об алиментах, выплачиваемых одним из родителей на содержание несовершеннолетних детей, не проживающих в данной семье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4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Заявитель / посредством представления подтверждающих документов».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  <w:tab/>
        <w:t xml:space="preserve">4. 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учета и исчисления величины среднедушевого дохода семьи для получения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31 декабря 2012 года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третьего ребенка или последующих детей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, утвержденный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вышеуказанным постановлением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Порядок</w:t>
      </w:r>
      <w:r>
        <w:rPr>
          <w:b w:val="0"/>
          <w:bCs w:val="0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учета и исчисления размера среднедушевого дохода семьи для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получения ежемесячной денежной выплаты семьям, постоянно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или временно проживающим на территории Еврейской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автономной области и нуждающимся в социальной поддержке,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при рождении (усыновлении)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после 31 декабря 2012 года, но не позднее 31 декабря 2022 года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третьего ребенка или последующих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Настоящий Порядок учета и исчисления размера среднедушевого дохода семьи для получения ежемесячной денежной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сыновлении) после 31 декабря 2012 года, но не позднее 31 декабря </w:t>
        <w:br/>
        <w:t xml:space="preserve">2022 года третьего ребенка или последующих детей (далее - Порядок) разработан 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законом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Еврейской автономной области от 27.06.2012 № 86-ОЗ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 устанавливает правила учета и исчисления размера среднедушевого дохода семьи для получения ежемесячной денежной выплаты семьям, постоянно или временно проживающим на территории Еврейской автономной области и нуждающимся в поддержке, при рождении (усынов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лении) после 31 декабря 2012 года, но не позднее </w:t>
        <w:br/>
        <w:t xml:space="preserve">31 декабря 2022 года третьего ребенка или последующих детей (далее - среднедушевой доход семьи).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 В состав семьи, учитываемый при определении права на получение ежемесячной денежной выплаты (далее - ежемесячная денежная выплата), в том числе в целях расчета среднедушевого дохода семьи, включаются родитель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(в том числе усыновитель), подавший заявление о назначении ежемесячной денежной выплаты (далее – заявитель), его супруг (супруга), несовершеннолетние дети и дети в возрасте до 23 лет, обучающ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в том числе находящиеся под опекой (за исключением таких детей, состоящих в браке).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3. В состав семьи, учитываемый при определении права на получение ежемесячной денежной выплаты, в том числе в целях расчета среднедушевого дохода семьи, не включаются: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а) лица, лишенные родительских прав (ограниченные в родительских правах) в отношении ребенка (детей), на которого подается заявление 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б)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дети, находящиеся на полном государственном обеспечении;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в) лица,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г) лица, отбывающие наказание в виде лишения свободы;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д) лица, находящиеся на принудительном лечении по решению суда;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е) лица, в отношении которых применена мера пресечения в виде заключения под стражу.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При расчете среднедушевого дохода семьи учитываются следующие виды доходов семьи, полученные в денежной форме: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 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ении опеки или попечительства на возмездных условиях (договору о приемной семье, договору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</w:t>
      </w:r>
      <w:r>
        <w:rPr>
          <w:rFonts w:ascii="Times New Roman" w:hAnsi="Times New Roman" w:cs="Times New Roman"/>
          <w:sz w:val="28"/>
          <w:szCs w:val="28"/>
        </w:rPr>
        <w:t xml:space="preserve">зложенные на этих лиц управленческие обязанности или откуда производилась выплата указанного вознаграждения.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 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Еврейской автономн</w:t>
      </w:r>
      <w:r>
        <w:rPr>
          <w:rFonts w:ascii="Times New Roman" w:hAnsi="Times New Roman" w:cs="Times New Roman"/>
          <w:sz w:val="28"/>
          <w:szCs w:val="28"/>
        </w:rPr>
        <w:t xml:space="preserve">ой области, актами (решениями)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 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</w:t>
      </w:r>
      <w:r>
        <w:rPr>
          <w:rFonts w:ascii="Times New Roman" w:hAnsi="Times New Roman" w:cs="Times New Roman"/>
          <w:sz w:val="28"/>
          <w:szCs w:val="28"/>
        </w:rPr>
        <w:t xml:space="preserve">аниям;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сумма полученных алиментов;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 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нежн</w:t>
      </w:r>
      <w:r>
        <w:rPr>
          <w:rFonts w:ascii="Times New Roman" w:hAnsi="Times New Roman" w:cs="Times New Roman"/>
          <w:sz w:val="28"/>
          <w:szCs w:val="28"/>
        </w:rPr>
        <w:t xml:space="preserve">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(денежная компенсация взамен продовольственного пайка), установленные законодательством Российской Федерации (при наличии);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ж)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з) дивиденды, проценты и иные доходы, полученные по операциям с ценными бумагами и по операциям с производными финансовыми инструментами, а также в связи с участием в управлении собственностью организации;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и) проценты, полученные по вкладам в кредитных учреждениях;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) 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грантов, субсидий и других поступлений, имеющих целевой характер расходования и предоставляемых в рамках поддержки предпринимательства, сведения о которых гражданин или члены его семьи вправе предоставить);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л) доходы от реализации и сдачи в аренду (наем, поднаем) имущества;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м) доходы по договорам авторского заказа, об отчуждении исключительного права на результаты интеллектуальной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н) доходы, полученные в рамках применения специального налогового режима «Налог на профессиональный доход»;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о) ежемесячное пожизненное содержание судей, вышедших в отставку;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) 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р) доход, полученный заявителем или членами его семьи за пределами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с) доходы, полученные в результате выигрышей, выплачиваемых организаторами лотерей, тотализаторов и других основанных на риске игр.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 Среднед</w:t>
      </w:r>
      <w:r>
        <w:rPr>
          <w:rFonts w:ascii="Times New Roman" w:hAnsi="Times New Roman" w:cs="Times New Roman"/>
          <w:sz w:val="28"/>
          <w:szCs w:val="28"/>
        </w:rPr>
        <w:t xml:space="preserve">ушевой доход семьи для назначения ежемесячной денежной выплаты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</w:t>
      </w:r>
      <w:r>
        <w:rPr>
          <w:rFonts w:ascii="Times New Roman" w:hAnsi="Times New Roman" w:cs="Times New Roman"/>
          <w:sz w:val="28"/>
          <w:szCs w:val="28"/>
        </w:rPr>
        <w:t xml:space="preserve">рных месяцев), предшествующих 4 календарным месяцам перед месяцем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, путем деления одной двенадцатой суммы доходов всех членов семьи за расчетный</w:t>
      </w:r>
      <w:r>
        <w:rPr>
          <w:rFonts w:ascii="Times New Roman" w:hAnsi="Times New Roman" w:cs="Times New Roman"/>
          <w:sz w:val="28"/>
          <w:szCs w:val="28"/>
        </w:rPr>
        <w:t xml:space="preserve"> период на число членов семьи.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 При иных установленных сроках расчета и выплаты доходов сумма полученных доходов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В случае если заявитель или члены его семьи получили доходы, определенные в подпункте «к» пункта 4 настоящего Порядка, осуществляя свою деятельность с применением упрощенной системы налогообложения (в случае, если в качестве объекта налогообложения выбра</w:t>
      </w:r>
      <w:r>
        <w:rPr>
          <w:rFonts w:ascii="Times New Roman" w:hAnsi="Times New Roman" w:cs="Times New Roman"/>
          <w:sz w:val="28"/>
          <w:szCs w:val="28"/>
        </w:rPr>
        <w:t xml:space="preserve">ны доходы), заявитель или члены его семьи вправе представить документы (сведения) о доходах за вычетом расходов в сроки,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назначения и выплаты ежемесячной де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нежной выплаты семьям, постоянно или временно проживающим на территории Еврейской автономной области и нуждающимся в социальной поддержке, при рождении (усыновлении) после 31 декабря 2012 года, но не позднее 31 декабря 2022 года третьего ребенка или послед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ующих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в соответствии с пунктом 1 настоящего постановления. В таком случае ОГБУ «МФЦ» при расчете среднедушевого дохода семьи использует д</w:t>
      </w:r>
      <w:r>
        <w:rPr>
          <w:rFonts w:ascii="Times New Roman" w:hAnsi="Times New Roman" w:cs="Times New Roman"/>
          <w:sz w:val="28"/>
          <w:szCs w:val="28"/>
        </w:rPr>
        <w:t xml:space="preserve">окументы (сведения), представленные заявителем или членами его семьи.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если в информации, представленной в рамках межведомственного электронного взаимодействия, отсутствуют документы (сведения) о доходах, указанных в подпунктах «к» и «м» пункта 4 настоящего Порядка, полученных в течение налогового периода,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доходы, документы (сведения) о которых представлены заявителем или членами его семьи за расчетный период (при представлении заявителем таких документов (сведений).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Доходы, указанные в подпункте «и» пункта 4 настоящего Порядка, определяются за вычетом понесенных расходов по операциям с ценными бумагами и по операциям с производными финансовыми инструментами.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8. При расчете среднедушевого дохода семьи не учитываются: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уммы единовременной материальной помощи, выплачиваемой за счет средств федерального бюджета, областного бюджета, местных бюджетов и иных источников в связи со стихийным бедствием или другими чрезвычайными обстоятельствами, а также в связи с террористически</w:t>
      </w:r>
      <w:r>
        <w:rPr>
          <w:rFonts w:ascii="Times New Roman" w:hAnsi="Times New Roman" w:cs="Times New Roman"/>
          <w:sz w:val="28"/>
          <w:szCs w:val="28"/>
        </w:rPr>
        <w:t xml:space="preserve">м актом;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ежемесячные выплаты неработающим трудоспособным лицам, осуществляющим уход за ребенком-инвалидом в возрасте до 18 лет или инвалидом с детства I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</w:t>
      </w:r>
      <w:r>
        <w:rPr>
          <w:rFonts w:ascii="Times New Roman" w:hAnsi="Times New Roman" w:cs="Times New Roman"/>
          <w:sz w:val="28"/>
          <w:szCs w:val="28"/>
        </w:rPr>
        <w:t xml:space="preserve">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налоговых вычетов по окончании налогового периода;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социальное пособие на погребение, установленное Федеральным законом от 12.01.1996 № 8-ФЗ «О погребении и похоронном деле»;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</w:t>
      </w:r>
      <w:r>
        <w:rPr>
          <w:rFonts w:ascii="Times New Roman" w:hAnsi="Times New Roman" w:cs="Times New Roman"/>
          <w:sz w:val="28"/>
          <w:szCs w:val="28"/>
        </w:rPr>
        <w:t xml:space="preserve">енежная компенсация расходов на содержание и ветеринарное обслуживание собак-проводников, предоставляемые в соответствии с Федеральным законом от 24.11.1995 № 181-ФЗ «О социальной защите инвалидов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алименты, выплачиваемые одним из родителей на содержание несовершеннолетних детей, не проживающих в данной семье.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9. Доходы каждого члена семьи учитываются до вычета налогов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10. 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11. ОГБУ «МФЦ» вправе проверять достоверность документов (сведений), указанных в заявлении и представленных заявителем. В этих целях ОГБУ «МФЦ» вправе запрашивать и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езвозмездно получать необходимые документы (сведения) от органов, предоставляющих государственные (муниципальные) услуги, иных государственных органов, органов местного самоуправления и организаций, подведомственных государственным органам или органам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Форму акта,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подтверждающего факт совместного проживания родителя (усыновителя) с детьми, за исключением совершеннолетних,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0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«Акт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подтверждающий факт совместного проживания родителя (усыновителя)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 ребенком (детьми)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связи с рождением которого (которых) возникло право на установление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дата рождения, адрес регистрации родителя </w:t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 (усыновителя))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1. Дата обследования: «__» _______________ 20__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2. Кем проводится обследование: 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540" w:right="0" w:firstLine="708"/>
        <w:jc w:val="both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должность специалистов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Courier New" w:cs="Times New Roman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учреждения,  уполномоченного  органом</w:t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 исполнительной власти области в сфере </w:t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социальной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</w: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 защиты населения или его филиалами по месту жительства)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3. Адрес регистрации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родителя (усыновителя): 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4. Адрес фактического проживания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родителя (усыновителя), где проводится обследование: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5. Сведения о ребенке (детях): 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540" w:right="0" w:firstLine="708"/>
        <w:jc w:val="both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(фамилия, имя, отчество, дата рождения)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6. Адрес регистрации ребенка (детей): 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7. Адрес фактического проживания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детей, где проводится обследование: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8. Факты, подтверждающие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совместное проживание родителя (усыновителя) с ребенком (детьми):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9. Выводы: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Courier New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________________________</w:t>
        <w:tab/>
        <w:tab/>
        <w:tab/>
        <w:tab/>
        <w:tab/>
        <w:t xml:space="preserve">(__________________)».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8" w:right="0" w:firstLine="708"/>
        <w:jc w:val="both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ourier New" w:cs="Times New Roman"/>
          <w:color w:val="000000"/>
          <w:sz w:val="22"/>
          <w:szCs w:val="22"/>
        </w:rPr>
        <w:t xml:space="preserve">(Подпись)</w:t>
        <w:tab/>
        <w:tab/>
        <w:tab/>
        <w:tab/>
        <w:tab/>
        <w:tab/>
        <w:tab/>
        <w:tab/>
        <w:t xml:space="preserve">(ФИО)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Р.Э. Гольдштейн</w:t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1134" w:right="851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0"/>
    <w:next w:val="850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853"/>
    <w:link w:val="852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3"/>
    <w:link w:val="862"/>
    <w:uiPriority w:val="99"/>
  </w:style>
  <w:style w:type="character" w:styleId="704">
    <w:name w:val="Footer Char"/>
    <w:basedOn w:val="853"/>
    <w:link w:val="864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51">
    <w:name w:val="Heading 1"/>
    <w:basedOn w:val="850"/>
    <w:link w:val="856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52">
    <w:name w:val="Heading 3"/>
    <w:basedOn w:val="850"/>
    <w:link w:val="857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Заголовок 1 Знак"/>
    <w:basedOn w:val="853"/>
    <w:link w:val="851"/>
    <w:uiPriority w:val="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57" w:customStyle="1">
    <w:name w:val="Заголовок 3 Знак"/>
    <w:basedOn w:val="853"/>
    <w:link w:val="852"/>
    <w:uiPriority w:val="9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58" w:customStyle="1">
    <w:name w:val="Heading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59" w:customStyle="1">
    <w:name w:val="Pre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0">
    <w:name w:val="Hyperlink"/>
    <w:basedOn w:val="853"/>
    <w:uiPriority w:val="99"/>
    <w:rPr>
      <w:rFonts w:ascii="Arial" w:hAnsi="Arial" w:cs="Times New Roman"/>
      <w:i/>
      <w:sz w:val="18"/>
    </w:rPr>
  </w:style>
  <w:style w:type="paragraph" w:styleId="861" w:customStyle="1">
    <w:name w:val="Con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62">
    <w:name w:val="Header"/>
    <w:basedOn w:val="850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3"/>
    <w:link w:val="862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64">
    <w:name w:val="Footer"/>
    <w:basedOn w:val="850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3"/>
    <w:link w:val="864"/>
    <w:uiPriority w:val="99"/>
    <w:rPr>
      <w:rFonts w:ascii="Arial" w:hAnsi="Arial" w:eastAsia="Times New Roman" w:cs="Arial"/>
      <w:sz w:val="18"/>
      <w:szCs w:val="18"/>
      <w:lang w:eastAsia="ru-RU"/>
    </w:rPr>
  </w:style>
  <w:style w:type="paragraph" w:styleId="86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7" w:customStyle="1">
    <w:name w:val="ConsPlusNormal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8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69">
    <w:name w:val="HTML Preformatted"/>
    <w:basedOn w:val="850"/>
    <w:link w:val="870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70" w:customStyle="1">
    <w:name w:val="Стандартный HTML Знак"/>
    <w:basedOn w:val="853"/>
    <w:link w:val="869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871">
    <w:name w:val="Body Text"/>
    <w:basedOn w:val="850"/>
    <w:link w:val="872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72" w:customStyle="1">
    <w:name w:val="Основной текст Знак"/>
    <w:basedOn w:val="853"/>
    <w:link w:val="87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Body Text 3"/>
    <w:basedOn w:val="850"/>
    <w:link w:val="874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874" w:customStyle="1">
    <w:name w:val="Основной текст 3 Знак"/>
    <w:basedOn w:val="853"/>
    <w:link w:val="873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5">
    <w:name w:val="page number"/>
    <w:basedOn w:val="853"/>
    <w:uiPriority w:val="99"/>
  </w:style>
  <w:style w:type="paragraph" w:styleId="876">
    <w:name w:val="Balloon Text"/>
    <w:basedOn w:val="850"/>
    <w:link w:val="877"/>
    <w:uiPriority w:val="99"/>
    <w:semiHidden/>
    <w:unhideWhenUsed/>
    <w:pPr>
      <w:widowControl/>
    </w:pPr>
    <w:rPr>
      <w:rFonts w:ascii="Segoe UI" w:hAnsi="Segoe UI" w:cs="Segoe UI"/>
    </w:rPr>
  </w:style>
  <w:style w:type="character" w:styleId="877" w:customStyle="1">
    <w:name w:val="Текст выноски Знак"/>
    <w:basedOn w:val="853"/>
    <w:link w:val="87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8">
    <w:name w:val="Normal (Web)"/>
    <w:basedOn w:val="850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9">
    <w:name w:val="List Paragraph"/>
    <w:basedOn w:val="850"/>
    <w:uiPriority w:val="99"/>
    <w:qFormat/>
    <w:pPr>
      <w:contextualSpacing/>
      <w:ind w:left="720"/>
    </w:pPr>
  </w:style>
  <w:style w:type="paragraph" w:styleId="880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1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2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3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4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34A-3275-4F24-84E6-5BA4DF6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Григорьевна</dc:creator>
  <cp:revision>16</cp:revision>
  <dcterms:created xsi:type="dcterms:W3CDTF">2022-03-02T23:47:00Z</dcterms:created>
  <dcterms:modified xsi:type="dcterms:W3CDTF">2023-02-20T02:15:19Z</dcterms:modified>
</cp:coreProperties>
</file>